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E0" w:rsidRDefault="00AA274B">
      <w:pPr>
        <w:rPr>
          <w:rFonts w:hint="cs"/>
          <w:rtl/>
        </w:rPr>
      </w:pPr>
      <w:r>
        <w:rPr>
          <w:rFonts w:hint="cs"/>
          <w:rtl/>
        </w:rPr>
        <w:t>תוכנית עסקית פנימית לדוגמא (בעברית)</w:t>
      </w:r>
    </w:p>
    <w:p w:rsidR="00AA274B" w:rsidRPr="0081382F" w:rsidRDefault="00AA274B" w:rsidP="00AA274B">
      <w:pPr>
        <w:pStyle w:val="contenttab"/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bookmarkStart w:id="0" w:name="_GoBack"/>
      <w:bookmarkEnd w:id="0"/>
      <w:r w:rsidRPr="0081382F">
        <w:rPr>
          <w:rFonts w:asciiTheme="minorBidi" w:hAnsiTheme="minorBidi"/>
          <w:b/>
          <w:bCs/>
          <w:sz w:val="20"/>
          <w:szCs w:val="20"/>
          <w:rtl/>
        </w:rPr>
        <w:t>תמצית מנהלים</w:t>
      </w:r>
      <w:r w:rsidRPr="0081382F">
        <w:rPr>
          <w:rFonts w:asciiTheme="minorBidi" w:hAnsiTheme="minorBidi"/>
          <w:sz w:val="20"/>
          <w:szCs w:val="20"/>
        </w:rPr>
        <w:tab/>
      </w:r>
      <w:r w:rsidRPr="0081382F">
        <w:rPr>
          <w:rFonts w:asciiTheme="minorBidi" w:hAnsiTheme="minorBidi"/>
          <w:b/>
          <w:bCs/>
          <w:sz w:val="20"/>
          <w:szCs w:val="20"/>
          <w:rtl/>
        </w:rPr>
        <w:t>4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b/>
          <w:bCs/>
          <w:sz w:val="20"/>
          <w:szCs w:val="20"/>
        </w:rPr>
      </w:pPr>
    </w:p>
    <w:p w:rsidR="00AA274B" w:rsidRPr="0081382F" w:rsidRDefault="00AA274B" w:rsidP="00AA274B">
      <w:pPr>
        <w:pStyle w:val="contenttab"/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>
        <w:rPr>
          <w:rFonts w:asciiTheme="minorBidi" w:hAnsiTheme="minorBidi" w:hint="cs"/>
          <w:b/>
          <w:bCs/>
          <w:sz w:val="20"/>
          <w:szCs w:val="20"/>
          <w:rtl/>
        </w:rPr>
        <w:t>(שם)</w:t>
      </w:r>
      <w:r w:rsidRPr="0081382F">
        <w:rPr>
          <w:rFonts w:asciiTheme="minorBidi" w:hAnsiTheme="minorBidi"/>
          <w:b/>
          <w:bCs/>
          <w:sz w:val="20"/>
          <w:szCs w:val="20"/>
          <w:rtl/>
        </w:rPr>
        <w:t xml:space="preserve"> בע"מ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b/>
          <w:bCs/>
          <w:sz w:val="20"/>
          <w:szCs w:val="20"/>
          <w:rtl/>
        </w:rPr>
        <w:t>7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רקע כללי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7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חזון החברה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7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תיאור המודל העסקי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7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תיאור המוצרים אשר משווקים במסגרת הפעלת החברה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7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ניתוח מרכזי הרווח השונים- בחברה- כיום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8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תיאור התפלגות הכנסות החברה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10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תיאור מבנה ההוצאות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10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בחינת תוצאות דוח רווח והפסד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11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2.9 בחינת מאזני החברה</w:t>
      </w:r>
      <w:r w:rsidRPr="0081382F">
        <w:rPr>
          <w:rFonts w:asciiTheme="minorBidi" w:hAnsi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hint="cs"/>
          <w:color w:val="000000" w:themeColor="text1"/>
          <w:sz w:val="20"/>
          <w:szCs w:val="20"/>
          <w:rtl/>
        </w:rPr>
        <w:t>12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2.10 טיפול בתחום הכספי</w:t>
      </w:r>
      <w:r w:rsidRPr="0081382F">
        <w:rPr>
          <w:rFonts w:asciiTheme="minorBidi" w:hAnsi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/>
          <w:color w:val="000000" w:themeColor="text1"/>
          <w:sz w:val="20"/>
          <w:szCs w:val="20"/>
        </w:rPr>
        <w:t>13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2.11 הוצאות מימון</w:t>
      </w:r>
      <w:r w:rsidRPr="0081382F">
        <w:rPr>
          <w:rFonts w:asciiTheme="minorBidi" w:hAnsi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/>
          <w:color w:val="000000" w:themeColor="text1"/>
          <w:sz w:val="20"/>
          <w:szCs w:val="20"/>
        </w:rPr>
        <w:t>13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2.12 הקמת מועדון לקוחות</w:t>
      </w:r>
      <w:r w:rsidRPr="0081382F">
        <w:rPr>
          <w:rFonts w:asciiTheme="minorBidi" w:hAnsi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hint="cs"/>
          <w:color w:val="000000" w:themeColor="text1"/>
          <w:sz w:val="20"/>
          <w:szCs w:val="20"/>
          <w:rtl/>
        </w:rPr>
        <w:t>13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2.13 כוח אדם</w:t>
      </w:r>
      <w:r w:rsidRPr="0081382F">
        <w:rPr>
          <w:rFonts w:asciiTheme="minorBidi" w:hAnsiTheme="minorBidi"/>
          <w:color w:val="000000" w:themeColor="text1"/>
          <w:sz w:val="20"/>
          <w:szCs w:val="20"/>
        </w:rPr>
        <w:tab/>
        <w:t>14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2.14 שכר עבודה</w:t>
      </w:r>
      <w:r w:rsidRPr="0081382F">
        <w:rPr>
          <w:rFonts w:asciiTheme="minorBidi" w:hAnsi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/>
          <w:color w:val="000000" w:themeColor="text1"/>
          <w:sz w:val="20"/>
          <w:szCs w:val="20"/>
        </w:rPr>
        <w:t>15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color w:val="000000" w:themeColor="text1"/>
          <w:sz w:val="20"/>
          <w:szCs w:val="20"/>
          <w:rtl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2.15 ניהול מלאי</w:t>
      </w:r>
      <w:r w:rsidRPr="0081382F">
        <w:rPr>
          <w:rFonts w:asciiTheme="minorBidi" w:hAnsi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/>
          <w:color w:val="000000" w:themeColor="text1"/>
          <w:sz w:val="20"/>
          <w:szCs w:val="20"/>
        </w:rPr>
        <w:t>16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792"/>
        <w:jc w:val="both"/>
        <w:rPr>
          <w:rFonts w:asciiTheme="minorBidi" w:hAnsiTheme="minorBidi"/>
          <w:sz w:val="20"/>
          <w:szCs w:val="20"/>
        </w:rPr>
      </w:pPr>
    </w:p>
    <w:p w:rsidR="00AA274B" w:rsidRPr="0081382F" w:rsidRDefault="00AA274B" w:rsidP="00AA274B">
      <w:pPr>
        <w:pStyle w:val="contenttab"/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81382F">
        <w:rPr>
          <w:rFonts w:asciiTheme="minorBidi" w:hAnsiTheme="minorBidi"/>
          <w:b/>
          <w:bCs/>
          <w:sz w:val="20"/>
          <w:szCs w:val="20"/>
          <w:rtl/>
        </w:rPr>
        <w:t>הסביבה העסקית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>17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bookmarkStart w:id="1" w:name="OLE_LINK1"/>
      <w:bookmarkStart w:id="2" w:name="OLE_LINK2"/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בחינת עולם התוכן בו פועלת החברה כיום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17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גורמי מפתח להצלחה בענף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19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הנוף העסקי</w:t>
      </w:r>
      <w:r w:rsidRPr="0081382F">
        <w:rPr>
          <w:rFonts w:asciiTheme="minorBidi" w:hAnsiTheme="minorBidi"/>
          <w:sz w:val="20"/>
          <w:szCs w:val="20"/>
        </w:rPr>
        <w:tab/>
      </w:r>
      <w:r w:rsidRPr="0081382F">
        <w:rPr>
          <w:rFonts w:asciiTheme="minorBidi" w:hAnsiTheme="minorBidi"/>
          <w:sz w:val="20"/>
          <w:szCs w:val="20"/>
          <w:rtl/>
        </w:rPr>
        <w:t>19</w:t>
      </w:r>
    </w:p>
    <w:bookmarkEnd w:id="1"/>
    <w:bookmarkEnd w:id="2"/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 w:hanging="360"/>
        <w:jc w:val="both"/>
        <w:rPr>
          <w:rFonts w:asciiTheme="minorBidi" w:hAnsiTheme="minorBidi"/>
          <w:sz w:val="20"/>
          <w:szCs w:val="20"/>
          <w:rtl/>
        </w:rPr>
      </w:pPr>
    </w:p>
    <w:p w:rsidR="00AA274B" w:rsidRPr="0081382F" w:rsidRDefault="00AA274B" w:rsidP="00AA274B">
      <w:pPr>
        <w:pStyle w:val="contenttab"/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81382F">
        <w:rPr>
          <w:rFonts w:asciiTheme="minorBidi" w:hAnsiTheme="minorBidi"/>
          <w:b/>
          <w:bCs/>
          <w:sz w:val="20"/>
          <w:szCs w:val="20"/>
          <w:rtl/>
        </w:rPr>
        <w:t>אסטרטגיה עסקית (לשנים הבאות)</w:t>
      </w:r>
      <w:r w:rsidRPr="0081382F">
        <w:rPr>
          <w:rFonts w:asciiTheme="minorBidi" w:hAnsiTheme="minorBidi"/>
          <w:sz w:val="20"/>
          <w:szCs w:val="20"/>
        </w:rPr>
        <w:tab/>
      </w:r>
      <w:r w:rsidRPr="0081382F">
        <w:rPr>
          <w:rFonts w:asciiTheme="minorBidi" w:hAnsiTheme="minorBidi"/>
          <w:b/>
          <w:bCs/>
          <w:sz w:val="20"/>
          <w:szCs w:val="20"/>
        </w:rPr>
        <w:t>20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ניתוח ענפי (</w:t>
      </w:r>
      <w:r w:rsidRPr="0081382F">
        <w:rPr>
          <w:rFonts w:asciiTheme="minorBidi" w:hAnsiTheme="minorBidi"/>
          <w:sz w:val="20"/>
          <w:szCs w:val="20"/>
        </w:rPr>
        <w:t>Porter's  Five Forces</w:t>
      </w:r>
      <w:r w:rsidRPr="0081382F">
        <w:rPr>
          <w:rFonts w:asciiTheme="minorBidi" w:hAnsiTheme="minorBidi"/>
          <w:sz w:val="20"/>
          <w:szCs w:val="20"/>
          <w:rtl/>
        </w:rPr>
        <w:t>)</w:t>
      </w:r>
      <w:r w:rsidRPr="0081382F">
        <w:rPr>
          <w:rFonts w:asciiTheme="minorBidi" w:hAnsiTheme="minorBidi"/>
          <w:sz w:val="20"/>
          <w:szCs w:val="20"/>
        </w:rPr>
        <w:tab/>
        <w:t>20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 xml:space="preserve">ניתוח </w:t>
      </w:r>
      <w:r w:rsidRPr="0081382F">
        <w:rPr>
          <w:rFonts w:asciiTheme="minorBidi" w:hAnsiTheme="minorBidi"/>
          <w:sz w:val="20"/>
          <w:szCs w:val="20"/>
        </w:rPr>
        <w:t>Porter's Generic Strategy</w:t>
      </w:r>
      <w:r w:rsidRPr="0081382F">
        <w:rPr>
          <w:rFonts w:asciiTheme="minorBidi" w:hAnsiTheme="minorBidi"/>
          <w:sz w:val="20"/>
          <w:szCs w:val="20"/>
        </w:rPr>
        <w:tab/>
        <w:t>21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תיאור היתרון היחסי המתמשך שבפעילות המותג</w:t>
      </w:r>
      <w:r w:rsidRPr="0081382F">
        <w:rPr>
          <w:rFonts w:asciiTheme="minorBidi" w:hAnsiTheme="minorBidi"/>
          <w:sz w:val="20"/>
          <w:szCs w:val="20"/>
        </w:rPr>
        <w:tab/>
      </w:r>
      <w:r w:rsidRPr="0081382F">
        <w:rPr>
          <w:rFonts w:asciiTheme="minorBidi" w:hAnsiTheme="minorBidi"/>
          <w:sz w:val="20"/>
          <w:szCs w:val="20"/>
          <w:rtl/>
        </w:rPr>
        <w:t>22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גיבוש מטרות אסטרטגיות לטווח הקצר ולטווח הארוך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22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מבנה ארגוני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22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 xml:space="preserve">ניתוח </w:t>
      </w:r>
      <w:r w:rsidRPr="0081382F">
        <w:rPr>
          <w:rFonts w:asciiTheme="minorBidi" w:hAnsiTheme="minorBidi"/>
          <w:sz w:val="20"/>
          <w:szCs w:val="20"/>
        </w:rPr>
        <w:t>SWOT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23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color w:val="000000" w:themeColor="text1"/>
          <w:sz w:val="20"/>
          <w:szCs w:val="20"/>
          <w:rtl/>
        </w:rPr>
        <w:t>המלצות ומסקנות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23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</w:p>
    <w:p w:rsidR="00AA274B" w:rsidRPr="0081382F" w:rsidRDefault="00AA274B" w:rsidP="00AA274B">
      <w:pPr>
        <w:pStyle w:val="contenttab"/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81382F">
        <w:rPr>
          <w:rFonts w:asciiTheme="minorBidi" w:hAnsiTheme="minorBidi"/>
          <w:b/>
          <w:bCs/>
          <w:sz w:val="20"/>
          <w:szCs w:val="20"/>
          <w:rtl/>
        </w:rPr>
        <w:t>אסטרטגיית שיווק ומכירות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>24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אסטרטגיית הרחבת נתח השוק</w:t>
      </w:r>
      <w:r w:rsidRPr="0081382F">
        <w:rPr>
          <w:rFonts w:asciiTheme="minorBidi" w:hAnsiTheme="minorBidi"/>
          <w:sz w:val="20"/>
          <w:szCs w:val="20"/>
        </w:rPr>
        <w:tab/>
        <w:t>24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גיבוש עקרונות לתכנית שיווקית ב-</w:t>
      </w:r>
      <w:r w:rsidRPr="0081382F">
        <w:rPr>
          <w:rFonts w:asciiTheme="minorBidi" w:hAnsiTheme="minorBidi"/>
          <w:sz w:val="20"/>
          <w:szCs w:val="20"/>
        </w:rPr>
        <w:t>online</w:t>
      </w:r>
      <w:r w:rsidRPr="0081382F">
        <w:rPr>
          <w:rFonts w:asciiTheme="minorBidi" w:hAnsiTheme="minorBidi"/>
          <w:sz w:val="20"/>
          <w:szCs w:val="20"/>
          <w:rtl/>
        </w:rPr>
        <w:t xml:space="preserve"> וב-</w:t>
      </w:r>
      <w:r w:rsidRPr="0081382F">
        <w:rPr>
          <w:rFonts w:asciiTheme="minorBidi" w:hAnsiTheme="minorBidi"/>
          <w:sz w:val="20"/>
          <w:szCs w:val="20"/>
        </w:rPr>
        <w:t>offline</w:t>
      </w:r>
      <w:r w:rsidRPr="0081382F">
        <w:rPr>
          <w:rFonts w:asciiTheme="minorBidi" w:hAnsiTheme="minorBidi"/>
          <w:sz w:val="20"/>
          <w:szCs w:val="20"/>
        </w:rPr>
        <w:tab/>
        <w:t>24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מחירים לצרכן</w:t>
      </w:r>
      <w:r w:rsidRPr="0081382F">
        <w:rPr>
          <w:rFonts w:asciiTheme="minorBidi" w:hAnsiTheme="minorBidi"/>
          <w:sz w:val="20"/>
          <w:szCs w:val="20"/>
        </w:rPr>
        <w:tab/>
        <w:t>24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שיתופי פעולה אסטרטגיים</w:t>
      </w:r>
      <w:r w:rsidRPr="0081382F">
        <w:rPr>
          <w:rFonts w:asciiTheme="minorBidi" w:hAnsiTheme="minorBidi"/>
          <w:sz w:val="20"/>
          <w:szCs w:val="20"/>
        </w:rPr>
        <w:tab/>
        <w:t>25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792"/>
        <w:jc w:val="both"/>
        <w:rPr>
          <w:rFonts w:asciiTheme="minorBidi" w:hAnsiTheme="minorBidi"/>
          <w:sz w:val="20"/>
          <w:szCs w:val="20"/>
        </w:rPr>
      </w:pPr>
    </w:p>
    <w:p w:rsidR="00AA274B" w:rsidRPr="0081382F" w:rsidRDefault="00AA274B" w:rsidP="00AA274B">
      <w:pPr>
        <w:pStyle w:val="contenttab"/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81382F">
        <w:rPr>
          <w:rFonts w:asciiTheme="minorBidi" w:hAnsiTheme="minorBidi"/>
          <w:b/>
          <w:bCs/>
          <w:sz w:val="20"/>
          <w:szCs w:val="20"/>
          <w:rtl/>
        </w:rPr>
        <w:t>תכנית פיננסית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b/>
          <w:bCs/>
          <w:sz w:val="20"/>
          <w:szCs w:val="20"/>
        </w:rPr>
        <w:t>26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עיקרי התכנית הפיננסית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26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תחזית פתיחת חנויות חדשות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26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צפי הכנסות לשנים 2016-2020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26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צפי רווח גולמי לשנים 2016-2020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27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צפי רווח והפסד לפי מרכזי רווח לשנים 2016-2020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28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צפי הוצאות החברה הכלליות לשנים 2016-2020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33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הוצאות מימון צפויות לשנים 2016-2020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34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מס הכנסה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sz w:val="20"/>
          <w:szCs w:val="20"/>
          <w:rtl/>
        </w:rPr>
        <w:t>34</w:t>
      </w:r>
    </w:p>
    <w:p w:rsidR="00AA274B" w:rsidRPr="0081382F" w:rsidRDefault="00AA274B" w:rsidP="00AA274B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spacing w:line="240" w:lineRule="auto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דוח רווח והפסד צפוי לשנים 2016-2020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35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sz w:val="20"/>
          <w:szCs w:val="20"/>
          <w:rtl/>
        </w:rPr>
      </w:pPr>
      <w:r w:rsidRPr="0081382F">
        <w:rPr>
          <w:rFonts w:asciiTheme="minorBidi" w:hAnsiTheme="minorBidi"/>
          <w:sz w:val="20"/>
          <w:szCs w:val="20"/>
          <w:rtl/>
        </w:rPr>
        <w:t>6.10. צפי השקעות והוצאות פחת לשנים 2016-2020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36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6.11. דוח תזרים מזומנים צפוי לשנים 2016-2020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37</w:t>
      </w:r>
    </w:p>
    <w:p w:rsidR="00AA274B" w:rsidRPr="0081382F" w:rsidRDefault="00AA274B" w:rsidP="00AA274B">
      <w:pPr>
        <w:pStyle w:val="contenttab"/>
        <w:tabs>
          <w:tab w:val="clear" w:pos="9072"/>
          <w:tab w:val="left" w:leader="dot" w:pos="8364"/>
        </w:tabs>
        <w:bidi/>
        <w:spacing w:before="240" w:line="240" w:lineRule="auto"/>
        <w:jc w:val="both"/>
        <w:rPr>
          <w:rFonts w:asciiTheme="minorBidi" w:hAnsiTheme="minorBidi"/>
          <w:b/>
          <w:bCs/>
          <w:sz w:val="20"/>
          <w:szCs w:val="20"/>
        </w:rPr>
      </w:pPr>
      <w:r w:rsidRPr="0081382F">
        <w:rPr>
          <w:rFonts w:asciiTheme="minorBidi" w:hAnsiTheme="minorBidi"/>
          <w:b/>
          <w:bCs/>
          <w:sz w:val="20"/>
          <w:szCs w:val="20"/>
          <w:rtl/>
        </w:rPr>
        <w:t>הערכת שווי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 w:hint="cs"/>
          <w:b/>
          <w:bCs/>
          <w:sz w:val="20"/>
          <w:szCs w:val="20"/>
          <w:rtl/>
        </w:rPr>
        <w:t>38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7.1. ניתוח רגישות להיוון תזרים המזומנים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38</w:t>
      </w:r>
    </w:p>
    <w:p w:rsidR="00AA274B" w:rsidRPr="0081382F" w:rsidRDefault="00AA274B" w:rsidP="00AA274B">
      <w:pPr>
        <w:pStyle w:val="contenttab"/>
        <w:numPr>
          <w:ilvl w:val="0"/>
          <w:numId w:val="0"/>
        </w:numPr>
        <w:tabs>
          <w:tab w:val="clear" w:pos="9072"/>
          <w:tab w:val="left" w:leader="dot" w:pos="8364"/>
        </w:tabs>
        <w:bidi/>
        <w:spacing w:line="240" w:lineRule="auto"/>
        <w:ind w:left="360"/>
        <w:jc w:val="both"/>
        <w:rPr>
          <w:rFonts w:asciiTheme="minorBidi" w:hAnsiTheme="minorBidi"/>
          <w:sz w:val="20"/>
          <w:szCs w:val="20"/>
        </w:rPr>
      </w:pPr>
      <w:r w:rsidRPr="0081382F">
        <w:rPr>
          <w:rFonts w:asciiTheme="minorBidi" w:hAnsiTheme="minorBidi"/>
          <w:sz w:val="20"/>
          <w:szCs w:val="20"/>
          <w:rtl/>
        </w:rPr>
        <w:t>7.2. ניתוח שיעור הצמיחה עד אינסוף ע"פ מודל גורדון</w:t>
      </w:r>
      <w:r w:rsidRPr="0081382F">
        <w:rPr>
          <w:rFonts w:asciiTheme="minorBidi" w:hAnsiTheme="minorBidi"/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38</w:t>
      </w:r>
    </w:p>
    <w:p w:rsidR="00AA274B" w:rsidRDefault="00AA274B" w:rsidP="00AA274B">
      <w:r w:rsidRPr="0081382F">
        <w:rPr>
          <w:rFonts w:asciiTheme="minorBidi" w:hAnsiTheme="minorBidi"/>
          <w:sz w:val="20"/>
          <w:szCs w:val="20"/>
          <w:rtl/>
        </w:rPr>
        <w:t>7.3. ניתוח רגישות השווי לשיעור ההיוון</w:t>
      </w:r>
      <w:r w:rsidRPr="0081382F">
        <w:rPr>
          <w:rFonts w:asciiTheme="minorBidi" w:hAnsiTheme="minorBidi"/>
          <w:sz w:val="20"/>
          <w:szCs w:val="20"/>
        </w:rPr>
        <w:tab/>
      </w:r>
    </w:p>
    <w:sectPr w:rsidR="00AA274B" w:rsidSect="00FB3D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4A1F"/>
    <w:multiLevelType w:val="multilevel"/>
    <w:tmpl w:val="3F8AFCC0"/>
    <w:lvl w:ilvl="0">
      <w:start w:val="1"/>
      <w:numFmt w:val="decimal"/>
      <w:pStyle w:val="contenttab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4B"/>
    <w:rsid w:val="00001340"/>
    <w:rsid w:val="00001C59"/>
    <w:rsid w:val="00006D36"/>
    <w:rsid w:val="00011D9A"/>
    <w:rsid w:val="0001549D"/>
    <w:rsid w:val="00033398"/>
    <w:rsid w:val="000349E1"/>
    <w:rsid w:val="00053880"/>
    <w:rsid w:val="000608D9"/>
    <w:rsid w:val="00070EEF"/>
    <w:rsid w:val="00093E28"/>
    <w:rsid w:val="00094831"/>
    <w:rsid w:val="000A1DB3"/>
    <w:rsid w:val="000B5E5E"/>
    <w:rsid w:val="000C3338"/>
    <w:rsid w:val="000D3EBB"/>
    <w:rsid w:val="000D4663"/>
    <w:rsid w:val="000F3F57"/>
    <w:rsid w:val="00102AA6"/>
    <w:rsid w:val="001114F9"/>
    <w:rsid w:val="001403EC"/>
    <w:rsid w:val="00180F8C"/>
    <w:rsid w:val="00191BDA"/>
    <w:rsid w:val="001D2B20"/>
    <w:rsid w:val="001E35F2"/>
    <w:rsid w:val="001E5CC3"/>
    <w:rsid w:val="00223841"/>
    <w:rsid w:val="00235638"/>
    <w:rsid w:val="002405AB"/>
    <w:rsid w:val="0024550D"/>
    <w:rsid w:val="00262C3A"/>
    <w:rsid w:val="00282E84"/>
    <w:rsid w:val="00292EFB"/>
    <w:rsid w:val="002934BD"/>
    <w:rsid w:val="002A0B49"/>
    <w:rsid w:val="002A4CD7"/>
    <w:rsid w:val="002B3DEE"/>
    <w:rsid w:val="002C3D04"/>
    <w:rsid w:val="002C6B9E"/>
    <w:rsid w:val="002D22BB"/>
    <w:rsid w:val="002F19B2"/>
    <w:rsid w:val="002F5C0C"/>
    <w:rsid w:val="0030333B"/>
    <w:rsid w:val="003447C1"/>
    <w:rsid w:val="0034536A"/>
    <w:rsid w:val="00353395"/>
    <w:rsid w:val="003533C1"/>
    <w:rsid w:val="00386D00"/>
    <w:rsid w:val="00392FD6"/>
    <w:rsid w:val="003B7A2C"/>
    <w:rsid w:val="003C5415"/>
    <w:rsid w:val="003C5E83"/>
    <w:rsid w:val="003D0BB0"/>
    <w:rsid w:val="003D4996"/>
    <w:rsid w:val="003D49AE"/>
    <w:rsid w:val="00431947"/>
    <w:rsid w:val="00445D0A"/>
    <w:rsid w:val="00503408"/>
    <w:rsid w:val="00504D0A"/>
    <w:rsid w:val="005175A9"/>
    <w:rsid w:val="005179C1"/>
    <w:rsid w:val="00523945"/>
    <w:rsid w:val="00525FAE"/>
    <w:rsid w:val="00531186"/>
    <w:rsid w:val="0054134C"/>
    <w:rsid w:val="00591497"/>
    <w:rsid w:val="00593510"/>
    <w:rsid w:val="005A7158"/>
    <w:rsid w:val="005D335B"/>
    <w:rsid w:val="005E14E9"/>
    <w:rsid w:val="005E5F5F"/>
    <w:rsid w:val="00616003"/>
    <w:rsid w:val="00641181"/>
    <w:rsid w:val="006429A1"/>
    <w:rsid w:val="00644E6A"/>
    <w:rsid w:val="006471D4"/>
    <w:rsid w:val="006562E2"/>
    <w:rsid w:val="0066730C"/>
    <w:rsid w:val="00675DB2"/>
    <w:rsid w:val="00682D7D"/>
    <w:rsid w:val="00687B17"/>
    <w:rsid w:val="006B028F"/>
    <w:rsid w:val="006D173D"/>
    <w:rsid w:val="006E1144"/>
    <w:rsid w:val="006E4E8E"/>
    <w:rsid w:val="006E7908"/>
    <w:rsid w:val="007007B7"/>
    <w:rsid w:val="007178CC"/>
    <w:rsid w:val="00756667"/>
    <w:rsid w:val="00762155"/>
    <w:rsid w:val="00763844"/>
    <w:rsid w:val="00780CDE"/>
    <w:rsid w:val="00780EE0"/>
    <w:rsid w:val="00787F4B"/>
    <w:rsid w:val="00791BA0"/>
    <w:rsid w:val="00793E35"/>
    <w:rsid w:val="007A786D"/>
    <w:rsid w:val="007B3661"/>
    <w:rsid w:val="007C18A2"/>
    <w:rsid w:val="007D4695"/>
    <w:rsid w:val="007F4469"/>
    <w:rsid w:val="007F7A87"/>
    <w:rsid w:val="00801927"/>
    <w:rsid w:val="008060C7"/>
    <w:rsid w:val="008335D2"/>
    <w:rsid w:val="00834167"/>
    <w:rsid w:val="00843FBC"/>
    <w:rsid w:val="00855E08"/>
    <w:rsid w:val="00856CBC"/>
    <w:rsid w:val="00870CCE"/>
    <w:rsid w:val="00872D3F"/>
    <w:rsid w:val="008760CD"/>
    <w:rsid w:val="0088481F"/>
    <w:rsid w:val="00890635"/>
    <w:rsid w:val="008A00A8"/>
    <w:rsid w:val="008F323B"/>
    <w:rsid w:val="0091010C"/>
    <w:rsid w:val="00914847"/>
    <w:rsid w:val="0093645C"/>
    <w:rsid w:val="0094580B"/>
    <w:rsid w:val="009642B5"/>
    <w:rsid w:val="009900F0"/>
    <w:rsid w:val="00997AD1"/>
    <w:rsid w:val="009A4AB1"/>
    <w:rsid w:val="009B6F0E"/>
    <w:rsid w:val="00A42820"/>
    <w:rsid w:val="00A42C9B"/>
    <w:rsid w:val="00A43D16"/>
    <w:rsid w:val="00A63E7B"/>
    <w:rsid w:val="00A82208"/>
    <w:rsid w:val="00A93164"/>
    <w:rsid w:val="00AA274B"/>
    <w:rsid w:val="00AA50F2"/>
    <w:rsid w:val="00AB3718"/>
    <w:rsid w:val="00AB7D8E"/>
    <w:rsid w:val="00AB7DD9"/>
    <w:rsid w:val="00AC18C2"/>
    <w:rsid w:val="00AD156B"/>
    <w:rsid w:val="00AE15CE"/>
    <w:rsid w:val="00AF0603"/>
    <w:rsid w:val="00AF2D70"/>
    <w:rsid w:val="00AF3899"/>
    <w:rsid w:val="00B0026D"/>
    <w:rsid w:val="00B0116D"/>
    <w:rsid w:val="00B252AF"/>
    <w:rsid w:val="00B43B00"/>
    <w:rsid w:val="00B53BB2"/>
    <w:rsid w:val="00B74CF4"/>
    <w:rsid w:val="00B94224"/>
    <w:rsid w:val="00B958FB"/>
    <w:rsid w:val="00BB390B"/>
    <w:rsid w:val="00BD0E64"/>
    <w:rsid w:val="00BD2345"/>
    <w:rsid w:val="00C325F1"/>
    <w:rsid w:val="00C54FDF"/>
    <w:rsid w:val="00C561B7"/>
    <w:rsid w:val="00C63BD1"/>
    <w:rsid w:val="00C76B84"/>
    <w:rsid w:val="00C82338"/>
    <w:rsid w:val="00C9037D"/>
    <w:rsid w:val="00CA4C2B"/>
    <w:rsid w:val="00CD2A3E"/>
    <w:rsid w:val="00CF1A42"/>
    <w:rsid w:val="00CF4437"/>
    <w:rsid w:val="00D105A4"/>
    <w:rsid w:val="00D1572F"/>
    <w:rsid w:val="00D42DEE"/>
    <w:rsid w:val="00D43449"/>
    <w:rsid w:val="00D44FA6"/>
    <w:rsid w:val="00D55600"/>
    <w:rsid w:val="00D73536"/>
    <w:rsid w:val="00DA28BC"/>
    <w:rsid w:val="00DA55CB"/>
    <w:rsid w:val="00DB1C3F"/>
    <w:rsid w:val="00DB5A03"/>
    <w:rsid w:val="00DC487F"/>
    <w:rsid w:val="00DD49A2"/>
    <w:rsid w:val="00DD7067"/>
    <w:rsid w:val="00DF60D2"/>
    <w:rsid w:val="00E034A2"/>
    <w:rsid w:val="00E0642E"/>
    <w:rsid w:val="00E07C56"/>
    <w:rsid w:val="00E232B4"/>
    <w:rsid w:val="00E2579F"/>
    <w:rsid w:val="00E27BAD"/>
    <w:rsid w:val="00E411D6"/>
    <w:rsid w:val="00E46EE8"/>
    <w:rsid w:val="00E62CBC"/>
    <w:rsid w:val="00E801F5"/>
    <w:rsid w:val="00E8784A"/>
    <w:rsid w:val="00E90A60"/>
    <w:rsid w:val="00EE239B"/>
    <w:rsid w:val="00EF214E"/>
    <w:rsid w:val="00F1271F"/>
    <w:rsid w:val="00F15869"/>
    <w:rsid w:val="00F21DEF"/>
    <w:rsid w:val="00F24F6B"/>
    <w:rsid w:val="00F6321E"/>
    <w:rsid w:val="00F8159C"/>
    <w:rsid w:val="00F93B66"/>
    <w:rsid w:val="00FA1A5B"/>
    <w:rsid w:val="00FA7404"/>
    <w:rsid w:val="00FB3DB1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tlegreenBGnonumber">
    <w:name w:val="1 title green BG no number"/>
    <w:basedOn w:val="a"/>
    <w:link w:val="1titlegreenBGnonumber0"/>
    <w:qFormat/>
    <w:rsid w:val="00AA274B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00B050"/>
      <w:bidi w:val="0"/>
      <w:spacing w:line="240" w:lineRule="auto"/>
      <w:ind w:left="-142" w:firstLine="142"/>
      <w:outlineLvl w:val="0"/>
    </w:pPr>
    <w:rPr>
      <w:rFonts w:ascii="Calibri" w:eastAsia="Times New Roman" w:hAnsi="Calibri" w:cs="Calibri"/>
      <w:color w:val="FFFFFF" w:themeColor="background1"/>
      <w:kern w:val="20"/>
      <w:sz w:val="28"/>
      <w:szCs w:val="28"/>
    </w:rPr>
  </w:style>
  <w:style w:type="character" w:customStyle="1" w:styleId="1titlegreenBGnonumber0">
    <w:name w:val="1 title green BG no number תו"/>
    <w:basedOn w:val="a0"/>
    <w:link w:val="1titlegreenBGnonumber"/>
    <w:rsid w:val="00AA274B"/>
    <w:rPr>
      <w:rFonts w:ascii="Calibri" w:eastAsia="Times New Roman" w:hAnsi="Calibri" w:cs="Calibri"/>
      <w:color w:val="FFFFFF" w:themeColor="background1"/>
      <w:kern w:val="20"/>
      <w:sz w:val="28"/>
      <w:szCs w:val="28"/>
      <w:shd w:val="clear" w:color="auto" w:fill="00B050"/>
    </w:rPr>
  </w:style>
  <w:style w:type="paragraph" w:customStyle="1" w:styleId="contenttab">
    <w:name w:val="content tab ..."/>
    <w:link w:val="contenttab0"/>
    <w:qFormat/>
    <w:rsid w:val="00AA274B"/>
    <w:pPr>
      <w:numPr>
        <w:numId w:val="1"/>
      </w:numPr>
      <w:tabs>
        <w:tab w:val="left" w:leader="dot" w:pos="9072"/>
      </w:tabs>
      <w:spacing w:after="0"/>
    </w:pPr>
    <w:rPr>
      <w:rFonts w:eastAsiaTheme="minorEastAsia"/>
    </w:rPr>
  </w:style>
  <w:style w:type="character" w:customStyle="1" w:styleId="contenttab0">
    <w:name w:val="content tab ... תו"/>
    <w:basedOn w:val="a0"/>
    <w:link w:val="contenttab"/>
    <w:rsid w:val="00AA274B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tlegreenBGnonumber">
    <w:name w:val="1 title green BG no number"/>
    <w:basedOn w:val="a"/>
    <w:link w:val="1titlegreenBGnonumber0"/>
    <w:qFormat/>
    <w:rsid w:val="00AA274B"/>
    <w:pPr>
      <w:keepNext/>
      <w:keepLines/>
      <w:pBdr>
        <w:top w:val="single" w:sz="48" w:space="3" w:color="FFFFFF"/>
        <w:left w:val="single" w:sz="6" w:space="3" w:color="FFFFFF"/>
        <w:bottom w:val="single" w:sz="6" w:space="3" w:color="FFFFFF"/>
      </w:pBdr>
      <w:shd w:val="clear" w:color="auto" w:fill="00B050"/>
      <w:bidi w:val="0"/>
      <w:spacing w:line="240" w:lineRule="auto"/>
      <w:ind w:left="-142" w:firstLine="142"/>
      <w:outlineLvl w:val="0"/>
    </w:pPr>
    <w:rPr>
      <w:rFonts w:ascii="Calibri" w:eastAsia="Times New Roman" w:hAnsi="Calibri" w:cs="Calibri"/>
      <w:color w:val="FFFFFF" w:themeColor="background1"/>
      <w:kern w:val="20"/>
      <w:sz w:val="28"/>
      <w:szCs w:val="28"/>
    </w:rPr>
  </w:style>
  <w:style w:type="character" w:customStyle="1" w:styleId="1titlegreenBGnonumber0">
    <w:name w:val="1 title green BG no number תו"/>
    <w:basedOn w:val="a0"/>
    <w:link w:val="1titlegreenBGnonumber"/>
    <w:rsid w:val="00AA274B"/>
    <w:rPr>
      <w:rFonts w:ascii="Calibri" w:eastAsia="Times New Roman" w:hAnsi="Calibri" w:cs="Calibri"/>
      <w:color w:val="FFFFFF" w:themeColor="background1"/>
      <w:kern w:val="20"/>
      <w:sz w:val="28"/>
      <w:szCs w:val="28"/>
      <w:shd w:val="clear" w:color="auto" w:fill="00B050"/>
    </w:rPr>
  </w:style>
  <w:style w:type="paragraph" w:customStyle="1" w:styleId="contenttab">
    <w:name w:val="content tab ..."/>
    <w:link w:val="contenttab0"/>
    <w:qFormat/>
    <w:rsid w:val="00AA274B"/>
    <w:pPr>
      <w:numPr>
        <w:numId w:val="1"/>
      </w:numPr>
      <w:tabs>
        <w:tab w:val="left" w:leader="dot" w:pos="9072"/>
      </w:tabs>
      <w:spacing w:after="0"/>
    </w:pPr>
    <w:rPr>
      <w:rFonts w:eastAsiaTheme="minorEastAsia"/>
    </w:rPr>
  </w:style>
  <w:style w:type="character" w:customStyle="1" w:styleId="contenttab0">
    <w:name w:val="content tab ... תו"/>
    <w:basedOn w:val="a0"/>
    <w:link w:val="contenttab"/>
    <w:rsid w:val="00AA274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 Itzhak</dc:creator>
  <cp:lastModifiedBy>Nir Itzhak</cp:lastModifiedBy>
  <cp:revision>2</cp:revision>
  <dcterms:created xsi:type="dcterms:W3CDTF">2016-06-14T16:34:00Z</dcterms:created>
  <dcterms:modified xsi:type="dcterms:W3CDTF">2016-06-14T16:35:00Z</dcterms:modified>
</cp:coreProperties>
</file>